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6F2E9E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2E9E" w:rsidRPr="006F2E9E" w:rsidRDefault="00EB3C82" w:rsidP="006F2E9E">
      <w:pPr>
        <w:spacing w:line="225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6F2E9E">
        <w:rPr>
          <w:rFonts w:ascii="Times New Roman" w:hAnsi="Times New Roman" w:cs="Times New Roman"/>
          <w:b/>
          <w:sz w:val="28"/>
          <w:szCs w:val="28"/>
        </w:rPr>
        <w:t>Ti</w:t>
      </w:r>
      <w:r w:rsidR="00002FD4" w:rsidRPr="006F2E9E">
        <w:rPr>
          <w:rFonts w:ascii="Times New Roman" w:hAnsi="Times New Roman" w:cs="Times New Roman"/>
          <w:b/>
          <w:sz w:val="28"/>
          <w:szCs w:val="28"/>
        </w:rPr>
        <w:t>rg</w:t>
      </w:r>
      <w:r w:rsidR="006F2E9E" w:rsidRPr="006F2E9E">
        <w:rPr>
          <w:rFonts w:ascii="Times New Roman" w:hAnsi="Times New Roman" w:cs="Times New Roman"/>
          <w:b/>
          <w:sz w:val="28"/>
          <w:szCs w:val="28"/>
        </w:rPr>
        <w:t>us izpēte par e</w:t>
      </w:r>
      <w:r w:rsidR="006F2E9E" w:rsidRPr="006F2E9E">
        <w:rPr>
          <w:rFonts w:ascii="Times New Roman" w:hAnsi="Times New Roman" w:cs="Times New Roman"/>
          <w:b/>
          <w:sz w:val="28"/>
          <w:szCs w:val="28"/>
          <w:lang w:val="en-US"/>
        </w:rPr>
        <w:t>krānu un projektoru kalibratora</w:t>
      </w:r>
      <w:r w:rsidR="006F2E9E" w:rsidRPr="006F2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i1Basic Pro 2.</w:t>
      </w:r>
    </w:p>
    <w:p w:rsidR="00EB3C82" w:rsidRPr="006F2E9E" w:rsidRDefault="00487B4A" w:rsidP="006F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9E">
        <w:rPr>
          <w:rFonts w:ascii="Times New Roman" w:hAnsi="Times New Roman" w:cs="Times New Roman"/>
          <w:b/>
          <w:sz w:val="28"/>
          <w:szCs w:val="28"/>
        </w:rPr>
        <w:t>piegādei</w:t>
      </w:r>
    </w:p>
    <w:p w:rsidR="00EB3C82" w:rsidRDefault="006F2E9E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31/03</w:t>
      </w:r>
      <w:r w:rsidR="00BA0A7B">
        <w:rPr>
          <w:rFonts w:ascii="Times New Roman" w:hAnsi="Times New Roman" w:cs="Times New Roman"/>
          <w:sz w:val="24"/>
          <w:szCs w:val="24"/>
        </w:rPr>
        <w:t>/2017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BA0A7B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6F2E9E" w:rsidRPr="00BA0A7B" w:rsidRDefault="006F2E9E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2E9E" w:rsidRPr="006F2E9E" w:rsidRDefault="006F2E9E" w:rsidP="006F2E9E">
      <w:pPr>
        <w:spacing w:line="225" w:lineRule="atLeast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2E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X-Rite </w:t>
      </w:r>
      <w:proofErr w:type="spellStart"/>
      <w:r w:rsidRPr="006F2E9E">
        <w:rPr>
          <w:rFonts w:ascii="Times New Roman" w:hAnsi="Times New Roman" w:cs="Times New Roman"/>
          <w:b/>
          <w:bCs/>
          <w:sz w:val="24"/>
          <w:szCs w:val="24"/>
          <w:lang w:val="en-US"/>
        </w:rPr>
        <w:t>eXact</w:t>
      </w:r>
      <w:proofErr w:type="spellEnd"/>
      <w:r w:rsidRPr="006F2E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Standard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specifikācija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07"/>
      </w:tblGrid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Apraksts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Ekrānu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projektoru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kalibrators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i1Basic Pro 2.</w:t>
            </w:r>
          </w:p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Paredzēts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izmantot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profesionālai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ICC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profilu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veidošanai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pieslēdzot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pie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atbilstošām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programmatūrām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piemēram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idelberg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 Toolbox.</w:t>
            </w:r>
          </w:p>
        </w:tc>
      </w:tr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Mērīšanas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ģeometrija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45°/0° ring illumination optics, ISO 13655:2009</w:t>
            </w:r>
          </w:p>
        </w:tc>
      </w:tr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Gaismas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avots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F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 filled tungsten (illuminant type A) un UV LED.</w:t>
            </w:r>
          </w:p>
        </w:tc>
      </w:tr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Mērījumu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standarti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13655:2009, M1 part 1 and simultaneous M0, M2 and M3 </w:t>
            </w:r>
          </w:p>
        </w:tc>
      </w:tr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Kalibrēšana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Manuāla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keramiskās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keramiska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Baltā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etalona</w:t>
            </w:r>
            <w:proofErr w:type="spellEnd"/>
          </w:p>
        </w:tc>
      </w:tr>
      <w:tr w:rsidR="006F2E9E" w:rsidRPr="006F2E9E" w:rsidTr="008B70F0">
        <w:trPr>
          <w:trHeight w:val="6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E9E" w:rsidRPr="006F2E9E" w:rsidTr="008B70F0">
        <w:trPr>
          <w:tblCellSpacing w:w="0" w:type="dxa"/>
        </w:trPr>
        <w:tc>
          <w:tcPr>
            <w:tcW w:w="2850" w:type="dxa"/>
            <w:tcBorders>
              <w:right w:val="single" w:sz="6" w:space="0" w:color="FFFFFF"/>
            </w:tcBorders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Mērlauku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(patch) </w:t>
            </w:r>
            <w:proofErr w:type="spellStart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izmērs</w:t>
            </w:r>
            <w:proofErr w:type="spellEnd"/>
            <w:r w:rsidRPr="006F2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60" w:type="dxa"/>
            </w:tcMar>
            <w:hideMark/>
          </w:tcPr>
          <w:p w:rsidR="006F2E9E" w:rsidRPr="006F2E9E" w:rsidRDefault="006F2E9E" w:rsidP="008B70F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Minimālais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mērlauka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skenējot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 x 10 mm (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platums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augstums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lineālu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10 x 10 mm (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platums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augstums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lineāla</w:t>
            </w:r>
            <w:proofErr w:type="spellEnd"/>
            <w:r w:rsidRPr="006F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F2E9E" w:rsidRPr="006F2E9E" w:rsidRDefault="006F2E9E" w:rsidP="006F2E9E">
      <w:pPr>
        <w:spacing w:line="225" w:lineRule="atLeast"/>
        <w:ind w:left="142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6F2E9E" w:rsidRPr="006F2E9E" w:rsidRDefault="006F2E9E" w:rsidP="006F2E9E">
      <w:pPr>
        <w:spacing w:line="225" w:lineRule="atLeast"/>
        <w:ind w:left="2977" w:hanging="283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Spektrālais</w:t>
      </w:r>
      <w:proofErr w:type="spellEnd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diapazons</w:t>
      </w:r>
      <w:proofErr w:type="spellEnd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F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380 ... 730 nm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10 nm soli</w:t>
      </w:r>
    </w:p>
    <w:p w:rsidR="006F2E9E" w:rsidRPr="006F2E9E" w:rsidRDefault="006F2E9E" w:rsidP="006F2E9E">
      <w:pPr>
        <w:spacing w:line="225" w:lineRule="atLeast"/>
        <w:ind w:left="2977" w:hanging="283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Komplektā</w:t>
      </w:r>
      <w:proofErr w:type="spellEnd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ietilpst</w:t>
      </w:r>
      <w:proofErr w:type="spellEnd"/>
      <w:r w:rsidRPr="006F2E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F2E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i1Pro 2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spektrofotometrs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mērierīce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kalibrēšanas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Baltā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etalons, “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galva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apkārtējās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gaismas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mērīšanai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, monitor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turētājs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pozicionēšanas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mērķis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skenēšanas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lineāls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, USB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kabelis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, i1Profiler v1.x software for monitors, projectors, scanners and RGB printers,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ColorChecker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Camera Calibration software, PANTONE Color Manager software,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ColorChecker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Classic target [mini],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ColorChecker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Proof target and soft-sided storage case. Free </w:t>
      </w:r>
      <w:proofErr w:type="spellStart"/>
      <w:r w:rsidRPr="006F2E9E">
        <w:rPr>
          <w:rFonts w:ascii="Times New Roman" w:hAnsi="Times New Roman" w:cs="Times New Roman"/>
          <w:sz w:val="24"/>
          <w:szCs w:val="24"/>
          <w:lang w:val="en-US"/>
        </w:rPr>
        <w:t>ColorTRUE</w:t>
      </w:r>
      <w:proofErr w:type="spellEnd"/>
      <w:r w:rsidRPr="006F2E9E">
        <w:rPr>
          <w:rFonts w:ascii="Times New Roman" w:hAnsi="Times New Roman" w:cs="Times New Roman"/>
          <w:sz w:val="24"/>
          <w:szCs w:val="24"/>
          <w:lang w:val="en-US"/>
        </w:rPr>
        <w:t xml:space="preserve"> mobile app download from iTunes® App Store.</w:t>
      </w:r>
    </w:p>
    <w:p w:rsidR="006F2E9E" w:rsidRDefault="006F2E9E" w:rsidP="006F2E9E">
      <w:pPr>
        <w:spacing w:line="225" w:lineRule="atLeast"/>
        <w:ind w:left="2880" w:hanging="2880"/>
        <w:rPr>
          <w:rFonts w:ascii="Arial Narrow" w:hAnsi="Arial Narrow" w:cs="Tahoma"/>
          <w:lang w:val="en-US"/>
        </w:rPr>
      </w:pPr>
    </w:p>
    <w:p w:rsidR="006F2E9E" w:rsidRPr="00ED314A" w:rsidRDefault="006F2E9E" w:rsidP="006F2E9E">
      <w:pPr>
        <w:spacing w:line="225" w:lineRule="atLeast"/>
        <w:ind w:left="2880" w:hanging="2880"/>
        <w:rPr>
          <w:rFonts w:ascii="Arial Narrow" w:hAnsi="Arial Narrow" w:cs="Tahoma"/>
          <w:lang w:val="en-US"/>
        </w:rPr>
      </w:pPr>
    </w:p>
    <w:p w:rsidR="006F2E9E" w:rsidRPr="00ED314A" w:rsidRDefault="006F2E9E" w:rsidP="006F2E9E">
      <w:pPr>
        <w:spacing w:line="225" w:lineRule="atLeast"/>
        <w:ind w:left="2880" w:hanging="2880"/>
        <w:rPr>
          <w:rFonts w:ascii="Arial Narrow" w:hAnsi="Arial Narrow" w:cs="Tahoma"/>
        </w:rPr>
      </w:pPr>
    </w:p>
    <w:p w:rsidR="006F2E9E" w:rsidRDefault="006F2E9E" w:rsidP="006F2E9E">
      <w:pPr>
        <w:spacing w:line="225" w:lineRule="atLeast"/>
        <w:rPr>
          <w:rFonts w:ascii="Arial Narrow" w:hAnsi="Arial Narrow" w:cs="Tahoma"/>
          <w:vanish/>
        </w:rPr>
      </w:pPr>
    </w:p>
    <w:p w:rsidR="006F2E9E" w:rsidRPr="006E0556" w:rsidRDefault="006F2E9E" w:rsidP="006F2E9E">
      <w:pPr>
        <w:spacing w:line="225" w:lineRule="atLeast"/>
        <w:rPr>
          <w:rFonts w:ascii="Arial Narrow" w:hAnsi="Arial Narrow" w:cs="Tahoma"/>
          <w:vanish/>
        </w:rPr>
      </w:pPr>
    </w:p>
    <w:p w:rsidR="006F2E9E" w:rsidRPr="006E0556" w:rsidRDefault="006F2E9E" w:rsidP="006F2E9E">
      <w:pPr>
        <w:spacing w:line="225" w:lineRule="atLeast"/>
        <w:rPr>
          <w:rFonts w:ascii="Arial Narrow" w:hAnsi="Arial Narrow" w:cs="Tahoma"/>
          <w:vanish/>
        </w:rPr>
      </w:pPr>
    </w:p>
    <w:p w:rsidR="006F2E9E" w:rsidRPr="006E0556" w:rsidRDefault="006F2E9E" w:rsidP="006F2E9E">
      <w:pPr>
        <w:spacing w:line="225" w:lineRule="atLeast"/>
        <w:rPr>
          <w:rFonts w:ascii="Arial Narrow" w:hAnsi="Arial Narrow" w:cs="Tahoma"/>
          <w:vanish/>
        </w:rPr>
      </w:pPr>
    </w:p>
    <w:p w:rsidR="00487B4A" w:rsidRDefault="00487B4A" w:rsidP="006F2E9E">
      <w:pPr>
        <w:rPr>
          <w:rFonts w:ascii="Times New Roman" w:hAnsi="Times New Roman" w:cs="Times New Roman"/>
        </w:rPr>
      </w:pPr>
    </w:p>
    <w:p w:rsidR="00487B4A" w:rsidRDefault="00487B4A" w:rsidP="00EB3C82">
      <w:pPr>
        <w:rPr>
          <w:rFonts w:ascii="Times New Roman" w:hAnsi="Times New Roman" w:cs="Times New Roman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lastRenderedPageBreak/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42055B"/>
    <w:rsid w:val="00487B4A"/>
    <w:rsid w:val="00513049"/>
    <w:rsid w:val="0054140E"/>
    <w:rsid w:val="00573173"/>
    <w:rsid w:val="006F2E9E"/>
    <w:rsid w:val="007413D0"/>
    <w:rsid w:val="00AD0585"/>
    <w:rsid w:val="00B57CD0"/>
    <w:rsid w:val="00BA0A7B"/>
    <w:rsid w:val="00C14294"/>
    <w:rsid w:val="00C3659E"/>
    <w:rsid w:val="00D654CF"/>
    <w:rsid w:val="00E41D85"/>
    <w:rsid w:val="00EB3C82"/>
    <w:rsid w:val="00EB46E8"/>
    <w:rsid w:val="00EC7528"/>
    <w:rsid w:val="00ED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F81D-0A2F-444B-B3E4-24737E0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854A-C1B6-4F4E-BA54-3181933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2017-01-20T09:36:00Z</dcterms:created>
  <dcterms:modified xsi:type="dcterms:W3CDTF">2017-01-20T09:50:00Z</dcterms:modified>
</cp:coreProperties>
</file>